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5F5" w:rsidRDefault="00C135F5" w:rsidP="00C135F5">
      <w:pPr>
        <w:pStyle w:val="1"/>
      </w:pPr>
      <w:r>
        <w:t>(16949-15-8)硼氢化锂的理化及危险特性表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112"/>
        <w:gridCol w:w="2070"/>
        <w:gridCol w:w="2503"/>
      </w:tblGrid>
      <w:tr w:rsidR="00C135F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标</w:t>
            </w:r>
          </w:p>
          <w:p w:rsidR="00C135F5" w:rsidRDefault="00C135F5" w:rsidP="0090435F">
            <w:pPr>
              <w:spacing w:line="296" w:lineRule="exact"/>
              <w:rPr>
                <w:rFonts w:ascii="宋体" w:hAnsi="宋体"/>
              </w:rPr>
            </w:pPr>
            <w:r>
              <w:rPr>
                <w:rFonts w:ascii="宋体" w:hAnsi="宋体" w:hint="eastAsia"/>
              </w:rPr>
              <w:t>识</w:t>
            </w: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bCs/>
              </w:rPr>
            </w:pPr>
            <w:r>
              <w:rPr>
                <w:rFonts w:ascii="宋体" w:hAnsi="宋体" w:hint="eastAsia"/>
                <w:bCs/>
              </w:rPr>
              <w:t>中文名：硼氢化锂 </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bCs/>
              </w:rPr>
              <w:t>lithium borohydride </w:t>
            </w:r>
          </w:p>
        </w:tc>
      </w:tr>
      <w:tr w:rsidR="00C135F5" w:rsidTr="0090435F">
        <w:trPr>
          <w:cantSplit/>
          <w:jc w:val="center"/>
        </w:trPr>
        <w:tc>
          <w:tcPr>
            <w:tcW w:w="489" w:type="dxa"/>
            <w:vMerge/>
            <w:tcBorders>
              <w:left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分子式：</w:t>
            </w:r>
            <w:r>
              <w:rPr>
                <w:rFonts w:ascii="宋体" w:hAnsi="宋体" w:hint="eastAsia"/>
                <w:szCs w:val="18"/>
              </w:rPr>
              <w:t>LiBH</w:t>
            </w:r>
            <w:r>
              <w:rPr>
                <w:rFonts w:ascii="宋体" w:hAnsi="宋体" w:hint="eastAsia"/>
                <w:szCs w:val="18"/>
                <w:vertAlign w:val="subscript"/>
              </w:rPr>
              <w:t>4</w:t>
            </w:r>
          </w:p>
        </w:tc>
        <w:tc>
          <w:tcPr>
            <w:tcW w:w="2070"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分子量：</w:t>
            </w:r>
            <w:r>
              <w:rPr>
                <w:rFonts w:ascii="宋体" w:hAnsi="宋体" w:hint="eastAsia"/>
                <w:szCs w:val="18"/>
              </w:rPr>
              <w:t>21.78</w:t>
            </w:r>
          </w:p>
        </w:tc>
        <w:tc>
          <w:tcPr>
            <w:tcW w:w="2503"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UN编号：1413</w:t>
            </w:r>
          </w:p>
        </w:tc>
      </w:tr>
      <w:tr w:rsidR="00C135F5" w:rsidTr="0090435F">
        <w:trPr>
          <w:cantSplit/>
          <w:jc w:val="center"/>
        </w:trPr>
        <w:tc>
          <w:tcPr>
            <w:tcW w:w="489" w:type="dxa"/>
            <w:vMerge/>
            <w:tcBorders>
              <w:left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危险类别：第4.3类  遇湿易燃物品</w:t>
            </w:r>
          </w:p>
        </w:tc>
        <w:tc>
          <w:tcPr>
            <w:tcW w:w="2070"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 xml:space="preserve">危规号： </w:t>
            </w:r>
            <w:r>
              <w:rPr>
                <w:rFonts w:ascii="宋体" w:hAnsi="宋体" w:hint="eastAsia"/>
                <w:szCs w:val="18"/>
              </w:rPr>
              <w:t xml:space="preserve"> 43043 </w:t>
            </w:r>
          </w:p>
        </w:tc>
        <w:tc>
          <w:tcPr>
            <w:tcW w:w="2503"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CAS号：16949-15-8</w:t>
            </w:r>
          </w:p>
        </w:tc>
      </w:tr>
      <w:tr w:rsidR="00C135F5" w:rsidTr="0090435F">
        <w:trPr>
          <w:cantSplit/>
          <w:jc w:val="center"/>
        </w:trPr>
        <w:tc>
          <w:tcPr>
            <w:tcW w:w="489" w:type="dxa"/>
            <w:vMerge/>
            <w:tcBorders>
              <w:left w:val="single" w:sz="4" w:space="0" w:color="auto"/>
              <w:bottom w:val="nil"/>
              <w:right w:val="single" w:sz="4" w:space="0" w:color="auto"/>
            </w:tcBorders>
            <w:vAlign w:val="center"/>
          </w:tcPr>
          <w:p w:rsidR="00C135F5" w:rsidRDefault="00C135F5"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bCs/>
              </w:rPr>
            </w:pPr>
            <w:r>
              <w:rPr>
                <w:rFonts w:ascii="宋体" w:hAnsi="宋体" w:hint="eastAsia"/>
                <w:bCs/>
              </w:rPr>
              <w:t xml:space="preserve">包装标志： </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 xml:space="preserve">包装类别： </w:t>
            </w:r>
          </w:p>
        </w:tc>
      </w:tr>
      <w:tr w:rsidR="00C135F5"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理</w:t>
            </w:r>
          </w:p>
          <w:p w:rsidR="00C135F5" w:rsidRDefault="00C135F5" w:rsidP="0090435F">
            <w:pPr>
              <w:spacing w:line="296" w:lineRule="exact"/>
              <w:rPr>
                <w:rFonts w:ascii="宋体" w:hAnsi="宋体"/>
              </w:rPr>
            </w:pPr>
            <w:r>
              <w:rPr>
                <w:rFonts w:ascii="宋体" w:hAnsi="宋体" w:hint="eastAsia"/>
              </w:rPr>
              <w:t>化</w:t>
            </w:r>
          </w:p>
          <w:p w:rsidR="00C135F5" w:rsidRDefault="00C135F5" w:rsidP="0090435F">
            <w:pPr>
              <w:spacing w:line="296" w:lineRule="exact"/>
              <w:rPr>
                <w:rFonts w:ascii="宋体" w:hAnsi="宋体"/>
              </w:rPr>
            </w:pPr>
            <w:r>
              <w:rPr>
                <w:rFonts w:ascii="宋体" w:hAnsi="宋体" w:hint="eastAsia"/>
              </w:rPr>
              <w:t>性</w:t>
            </w:r>
          </w:p>
          <w:p w:rsidR="00C135F5" w:rsidRDefault="00C135F5" w:rsidP="0090435F">
            <w:pPr>
              <w:spacing w:line="29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szCs w:val="18"/>
              </w:rPr>
            </w:pPr>
            <w:r>
              <w:rPr>
                <w:rFonts w:ascii="宋体" w:hAnsi="宋体" w:hint="eastAsia"/>
                <w:szCs w:val="18"/>
              </w:rPr>
              <w:t>外观与性状：无色粉末。</w:t>
            </w:r>
          </w:p>
        </w:tc>
      </w:tr>
      <w:tr w:rsidR="00C135F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szCs w:val="18"/>
              </w:rPr>
            </w:pPr>
            <w:r>
              <w:rPr>
                <w:rFonts w:ascii="宋体" w:hAnsi="宋体" w:hint="eastAsia"/>
                <w:szCs w:val="18"/>
              </w:rPr>
              <w:t>溶解性 ：不溶于烃类、苯、乙醚，溶于液氨。</w:t>
            </w:r>
          </w:p>
        </w:tc>
      </w:tr>
      <w:tr w:rsidR="00C135F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熔点（℃）：无资料</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bCs/>
              </w:rPr>
            </w:pPr>
            <w:r>
              <w:rPr>
                <w:rFonts w:ascii="宋体" w:hAnsi="宋体" w:hint="eastAsia"/>
                <w:bCs/>
              </w:rPr>
              <w:t>沸点（℃）：</w:t>
            </w:r>
            <w:r>
              <w:rPr>
                <w:rFonts w:ascii="宋体" w:hAnsi="宋体" w:hint="eastAsia"/>
              </w:rPr>
              <w:t>无资料</w:t>
            </w:r>
          </w:p>
        </w:tc>
      </w:tr>
      <w:tr w:rsidR="00C135F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相对密度（水＝1）：0.67</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相对密度（空气＝1）：无资料</w:t>
            </w:r>
          </w:p>
        </w:tc>
      </w:tr>
      <w:tr w:rsidR="00C135F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饱和蒸气压（kPa）：无资料</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燃烧热（kJ/mol）：无资料</w:t>
            </w:r>
          </w:p>
        </w:tc>
      </w:tr>
      <w:tr w:rsidR="00C135F5"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临界温度（℃）：无资料</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临界压力（MPa）：无资料</w:t>
            </w:r>
          </w:p>
        </w:tc>
      </w:tr>
      <w:tr w:rsidR="00C135F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燃</w:t>
            </w:r>
          </w:p>
          <w:p w:rsidR="00C135F5" w:rsidRDefault="00C135F5" w:rsidP="0090435F">
            <w:pPr>
              <w:spacing w:line="296" w:lineRule="exact"/>
              <w:rPr>
                <w:rFonts w:ascii="宋体" w:hAnsi="宋体"/>
              </w:rPr>
            </w:pPr>
            <w:r>
              <w:rPr>
                <w:rFonts w:ascii="宋体" w:hAnsi="宋体" w:hint="eastAsia"/>
              </w:rPr>
              <w:t>烧</w:t>
            </w:r>
          </w:p>
          <w:p w:rsidR="00C135F5" w:rsidRDefault="00C135F5" w:rsidP="0090435F">
            <w:pPr>
              <w:spacing w:line="296" w:lineRule="exact"/>
              <w:rPr>
                <w:rFonts w:ascii="宋体" w:hAnsi="宋体"/>
              </w:rPr>
            </w:pPr>
            <w:r>
              <w:rPr>
                <w:rFonts w:ascii="宋体" w:hAnsi="宋体" w:hint="eastAsia"/>
              </w:rPr>
              <w:t>爆</w:t>
            </w:r>
          </w:p>
          <w:p w:rsidR="00C135F5" w:rsidRDefault="00C135F5" w:rsidP="0090435F">
            <w:pPr>
              <w:spacing w:line="296" w:lineRule="exact"/>
              <w:rPr>
                <w:rFonts w:ascii="宋体" w:hAnsi="宋体"/>
              </w:rPr>
            </w:pPr>
            <w:r>
              <w:rPr>
                <w:rFonts w:ascii="宋体" w:hAnsi="宋体" w:hint="eastAsia"/>
              </w:rPr>
              <w:t>炸</w:t>
            </w:r>
          </w:p>
          <w:p w:rsidR="00C135F5" w:rsidRDefault="00C135F5" w:rsidP="0090435F">
            <w:pPr>
              <w:spacing w:line="296" w:lineRule="exact"/>
              <w:rPr>
                <w:rFonts w:ascii="宋体" w:hAnsi="宋体"/>
              </w:rPr>
            </w:pPr>
            <w:r>
              <w:rPr>
                <w:rFonts w:ascii="宋体" w:hAnsi="宋体" w:hint="eastAsia"/>
              </w:rPr>
              <w:t>危</w:t>
            </w:r>
          </w:p>
          <w:p w:rsidR="00C135F5" w:rsidRDefault="00C135F5" w:rsidP="0090435F">
            <w:pPr>
              <w:spacing w:line="296" w:lineRule="exact"/>
              <w:rPr>
                <w:rFonts w:ascii="宋体" w:hAnsi="宋体"/>
              </w:rPr>
            </w:pPr>
            <w:r>
              <w:rPr>
                <w:rFonts w:ascii="宋体" w:hAnsi="宋体" w:hint="eastAsia"/>
              </w:rPr>
              <w:t>险</w:t>
            </w:r>
          </w:p>
          <w:p w:rsidR="00C135F5" w:rsidRDefault="00C135F5" w:rsidP="0090435F">
            <w:pPr>
              <w:spacing w:line="296" w:lineRule="exact"/>
              <w:rPr>
                <w:rFonts w:ascii="宋体" w:hAnsi="宋体"/>
              </w:rPr>
            </w:pPr>
            <w:r>
              <w:rPr>
                <w:rFonts w:ascii="宋体" w:hAnsi="宋体" w:hint="eastAsia"/>
              </w:rPr>
              <w:t>性</w:t>
            </w: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燃烧性： 易燃</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闪点（℃）：-18</w:t>
            </w:r>
          </w:p>
        </w:tc>
      </w:tr>
      <w:tr w:rsidR="00C135F5" w:rsidTr="0090435F">
        <w:trPr>
          <w:cantSplit/>
          <w:jc w:val="center"/>
        </w:trPr>
        <w:tc>
          <w:tcPr>
            <w:tcW w:w="489" w:type="dxa"/>
            <w:vMerge/>
            <w:tcBorders>
              <w:top w:val="single" w:sz="4" w:space="0" w:color="auto"/>
              <w:left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vertAlign w:val="superscript"/>
              </w:rPr>
            </w:pPr>
            <w:r>
              <w:rPr>
                <w:rFonts w:ascii="宋体" w:hAnsi="宋体" w:hint="eastAsia"/>
              </w:rPr>
              <w:t>爆炸下限：无资料</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爆炸上限（%）：无资料</w:t>
            </w:r>
          </w:p>
        </w:tc>
      </w:tr>
      <w:tr w:rsidR="00C135F5" w:rsidTr="0090435F">
        <w:trPr>
          <w:cantSplit/>
          <w:jc w:val="center"/>
        </w:trPr>
        <w:tc>
          <w:tcPr>
            <w:tcW w:w="489" w:type="dxa"/>
            <w:vMerge/>
            <w:tcBorders>
              <w:top w:val="single" w:sz="4" w:space="0" w:color="auto"/>
              <w:left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引燃温度（℃）：无资料</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最小点火能（mJ）：无资料</w:t>
            </w:r>
          </w:p>
        </w:tc>
      </w:tr>
      <w:tr w:rsidR="00C135F5" w:rsidTr="0090435F">
        <w:trPr>
          <w:cantSplit/>
          <w:jc w:val="center"/>
        </w:trPr>
        <w:tc>
          <w:tcPr>
            <w:tcW w:w="489" w:type="dxa"/>
            <w:vMerge/>
            <w:tcBorders>
              <w:left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最大爆炸压力（MPa）：无资料</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 xml:space="preserve">稳定性： </w:t>
            </w:r>
          </w:p>
        </w:tc>
      </w:tr>
      <w:tr w:rsidR="00C135F5" w:rsidTr="0090435F">
        <w:trPr>
          <w:cantSplit/>
          <w:jc w:val="center"/>
        </w:trPr>
        <w:tc>
          <w:tcPr>
            <w:tcW w:w="489" w:type="dxa"/>
            <w:vMerge/>
            <w:tcBorders>
              <w:left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 xml:space="preserve">聚合危害： </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bCs/>
              </w:rPr>
            </w:pPr>
            <w:r>
              <w:rPr>
                <w:rFonts w:ascii="宋体" w:hAnsi="宋体" w:hint="eastAsia"/>
                <w:bCs/>
              </w:rPr>
              <w:t>燃烧分解产物：氧化硼、氢气。</w:t>
            </w:r>
          </w:p>
        </w:tc>
      </w:tr>
      <w:tr w:rsidR="00C135F5" w:rsidTr="0090435F">
        <w:trPr>
          <w:cantSplit/>
          <w:jc w:val="center"/>
        </w:trPr>
        <w:tc>
          <w:tcPr>
            <w:tcW w:w="489" w:type="dxa"/>
            <w:vMerge/>
            <w:tcBorders>
              <w:left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bCs/>
              </w:rPr>
            </w:pPr>
            <w:r>
              <w:rPr>
                <w:rFonts w:ascii="宋体" w:hAnsi="宋体" w:hint="eastAsia"/>
                <w:bCs/>
              </w:rPr>
              <w:t>避免接触的条件：潮湿空气。</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bCs/>
              </w:rPr>
            </w:pPr>
            <w:r>
              <w:rPr>
                <w:rFonts w:ascii="宋体" w:hAnsi="宋体" w:hint="eastAsia"/>
              </w:rPr>
              <w:t>禁忌物：</w:t>
            </w:r>
            <w:r>
              <w:rPr>
                <w:rFonts w:ascii="宋体" w:hAnsi="宋体" w:hint="eastAsia"/>
                <w:szCs w:val="18"/>
              </w:rPr>
              <w:t>强氧化剂、水、醇类、酸类。</w:t>
            </w:r>
          </w:p>
        </w:tc>
      </w:tr>
      <w:tr w:rsidR="00C135F5" w:rsidTr="0090435F">
        <w:trPr>
          <w:cantSplit/>
          <w:jc w:val="center"/>
        </w:trPr>
        <w:tc>
          <w:tcPr>
            <w:tcW w:w="489" w:type="dxa"/>
            <w:vMerge/>
            <w:tcBorders>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szCs w:val="18"/>
              </w:rPr>
            </w:pPr>
            <w:r>
              <w:rPr>
                <w:rFonts w:ascii="宋体" w:hAnsi="宋体" w:hint="eastAsia"/>
                <w:szCs w:val="18"/>
              </w:rPr>
              <w:t>危险特性：遇潮湿空气和水发生反应放出易燃的氢气。与氯化氢反应生成氢气、乙硼烷等易燃气体，容易引起燃烧。</w:t>
            </w:r>
          </w:p>
        </w:tc>
      </w:tr>
      <w:tr w:rsidR="00C135F5" w:rsidTr="0090435F">
        <w:trPr>
          <w:cantSplit/>
          <w:jc w:val="center"/>
        </w:trPr>
        <w:tc>
          <w:tcPr>
            <w:tcW w:w="489" w:type="dxa"/>
            <w:vMerge/>
            <w:tcBorders>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szCs w:val="18"/>
              </w:rPr>
            </w:pPr>
            <w:r>
              <w:rPr>
                <w:rFonts w:ascii="宋体" w:hAnsi="宋体" w:hint="eastAsia"/>
                <w:szCs w:val="18"/>
              </w:rPr>
              <w:t>灭火方法：消防人员须戴好防毒面具，在安全距离以外，在上风向灭火。灭火剂：干粉、二氧化碳、砂土。禁止用水和泡沫灭火。</w:t>
            </w:r>
          </w:p>
        </w:tc>
      </w:tr>
      <w:tr w:rsidR="00C135F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毒</w:t>
            </w:r>
          </w:p>
          <w:p w:rsidR="00C135F5" w:rsidRDefault="00C135F5" w:rsidP="0090435F">
            <w:pPr>
              <w:spacing w:line="29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C135F5" w:rsidRDefault="00C135F5" w:rsidP="0090435F">
            <w:pPr>
              <w:spacing w:line="29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C135F5" w:rsidTr="0090435F">
        <w:trPr>
          <w:cantSplit/>
          <w:trHeight w:val="90"/>
          <w:jc w:val="center"/>
        </w:trPr>
        <w:tc>
          <w:tcPr>
            <w:tcW w:w="489" w:type="dxa"/>
            <w:vMerge w:val="restart"/>
            <w:tcBorders>
              <w:top w:val="single" w:sz="4" w:space="0" w:color="auto"/>
              <w:left w:val="single" w:sz="4" w:space="0" w:color="auto"/>
              <w:right w:val="single" w:sz="4" w:space="0" w:color="auto"/>
            </w:tcBorders>
            <w:vAlign w:val="center"/>
          </w:tcPr>
          <w:p w:rsidR="00C135F5" w:rsidRDefault="00C135F5" w:rsidP="0090435F">
            <w:pPr>
              <w:spacing w:line="296" w:lineRule="exact"/>
              <w:rPr>
                <w:rFonts w:ascii="宋体" w:hAnsi="宋体"/>
                <w:bCs/>
              </w:rPr>
            </w:pPr>
            <w:r>
              <w:rPr>
                <w:rFonts w:ascii="宋体" w:hAnsi="宋体" w:hint="eastAsia"/>
                <w:bCs/>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侵入途经：吸入、食入</w:t>
            </w:r>
            <w:r>
              <w:rPr>
                <w:rFonts w:ascii="宋体" w:hAnsi="宋体" w:hint="eastAsia"/>
                <w:bCs/>
              </w:rPr>
              <w:t>、经皮吸收</w:t>
            </w:r>
            <w:r>
              <w:rPr>
                <w:rFonts w:ascii="宋体" w:hAnsi="宋体" w:hint="eastAsia"/>
              </w:rPr>
              <w:t>。</w:t>
            </w:r>
          </w:p>
        </w:tc>
      </w:tr>
      <w:tr w:rsidR="00C135F5" w:rsidTr="0090435F">
        <w:trPr>
          <w:cantSplit/>
          <w:trHeight w:val="554"/>
          <w:jc w:val="center"/>
        </w:trPr>
        <w:tc>
          <w:tcPr>
            <w:tcW w:w="489" w:type="dxa"/>
            <w:vMerge/>
            <w:tcBorders>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color w:val="FF0000"/>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color w:val="FF0000"/>
              </w:rPr>
            </w:pPr>
            <w:r>
              <w:rPr>
                <w:rFonts w:ascii="宋体" w:hAnsi="宋体" w:hint="eastAsia"/>
                <w:szCs w:val="18"/>
              </w:rPr>
              <w:t>本品对粘膜、上呼吸道、眼睛及皮肤有强烈刺激性。吸入后，可因喉及支气管的痉挛、炎症、水肿，化学性肺炎或肺水肿而致死。中毒表现有烧灼感、咳嗽、喘息、喉炎、气短、头痛、恶心和呕吐等。</w:t>
            </w:r>
          </w:p>
        </w:tc>
      </w:tr>
      <w:tr w:rsidR="00C135F5" w:rsidTr="0090435F">
        <w:trPr>
          <w:cantSplit/>
          <w:jc w:val="center"/>
        </w:trPr>
        <w:tc>
          <w:tcPr>
            <w:tcW w:w="489" w:type="dxa"/>
            <w:tcBorders>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急</w:t>
            </w:r>
          </w:p>
          <w:p w:rsidR="00C135F5" w:rsidRDefault="00C135F5" w:rsidP="0090435F">
            <w:pPr>
              <w:spacing w:line="29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皮肤接触：</w:t>
            </w:r>
            <w:r>
              <w:rPr>
                <w:rFonts w:ascii="宋体" w:hAnsi="宋体" w:hint="eastAsia"/>
                <w:szCs w:val="18"/>
              </w:rPr>
              <w:t>立即脱去污染的衣着，用大量流动清水冲洗。就医。</w:t>
            </w:r>
            <w:r>
              <w:rPr>
                <w:rFonts w:ascii="宋体" w:hAnsi="宋体" w:hint="eastAsia"/>
              </w:rPr>
              <w:t xml:space="preserve">   ※眼睛接触：</w:t>
            </w:r>
            <w:r>
              <w:rPr>
                <w:rFonts w:ascii="宋体" w:hAnsi="宋体" w:hint="eastAsia"/>
                <w:szCs w:val="18"/>
              </w:rPr>
              <w:t>立即提起眼睑，用大量流动清水或生理盐水彻底冲洗至少15分钟。就医。</w:t>
            </w:r>
            <w:r>
              <w:rPr>
                <w:rFonts w:ascii="宋体" w:hAnsi="宋体" w:hint="eastAsia"/>
              </w:rPr>
              <w:t xml:space="preserve">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用水漱口，给饮牛奶或蛋清。就医。</w:t>
            </w:r>
          </w:p>
        </w:tc>
      </w:tr>
      <w:tr w:rsidR="00C135F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防</w:t>
            </w:r>
          </w:p>
          <w:p w:rsidR="00C135F5" w:rsidRDefault="00C135F5" w:rsidP="0090435F">
            <w:pPr>
              <w:spacing w:line="29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工程控制：</w:t>
            </w:r>
            <w:r>
              <w:rPr>
                <w:rFonts w:ascii="宋体" w:hAnsi="宋体" w:hint="eastAsia"/>
                <w:szCs w:val="18"/>
              </w:rPr>
              <w:t>密闭操作，局部排风。提供安全淋浴和洗眼设备。</w:t>
            </w:r>
            <w:r>
              <w:rPr>
                <w:rFonts w:ascii="宋体" w:hAnsi="宋体" w:hint="eastAsia"/>
              </w:rPr>
              <w:t xml:space="preserve">   ※呼吸系统防护：</w:t>
            </w:r>
            <w:r>
              <w:rPr>
                <w:rFonts w:ascii="宋体" w:hAnsi="宋体" w:hint="eastAsia"/>
                <w:szCs w:val="18"/>
              </w:rPr>
              <w:t>可能接触其粉尘时，必须佩戴防尘面具（全面罩）。紧急事态抢救或撤离时，应该佩戴空气呼吸器。</w:t>
            </w:r>
            <w:r>
              <w:rPr>
                <w:rFonts w:ascii="宋体" w:hAnsi="宋体" w:hint="eastAsia"/>
              </w:rPr>
              <w:t xml:space="preserve">   ※</w:t>
            </w:r>
            <w:r>
              <w:rPr>
                <w:rFonts w:ascii="宋体" w:hAnsi="宋体"/>
              </w:rPr>
              <w:t>眼睛防护：</w:t>
            </w:r>
            <w:r>
              <w:rPr>
                <w:rFonts w:ascii="宋体" w:hAnsi="宋体" w:hint="eastAsia"/>
                <w:szCs w:val="18"/>
              </w:rPr>
              <w:t>呼吸系统防护中已作防护。</w:t>
            </w:r>
            <w:r>
              <w:rPr>
                <w:rFonts w:ascii="宋体" w:hAnsi="宋体" w:hint="eastAsia"/>
              </w:rPr>
              <w:t xml:space="preserve">    ※身体防护</w:t>
            </w:r>
            <w:r>
              <w:rPr>
                <w:rFonts w:ascii="宋体" w:hAnsi="宋体"/>
              </w:rPr>
              <w:t>：</w:t>
            </w:r>
            <w:r>
              <w:rPr>
                <w:rFonts w:ascii="宋体" w:hAnsi="宋体" w:hint="eastAsia"/>
                <w:szCs w:val="18"/>
              </w:rPr>
              <w:t>穿胶布防毒衣。</w:t>
            </w:r>
            <w:r>
              <w:rPr>
                <w:rFonts w:ascii="宋体" w:hAnsi="宋体" w:hint="eastAsia"/>
              </w:rPr>
              <w:t xml:space="preserve">   ※</w:t>
            </w:r>
            <w:r>
              <w:rPr>
                <w:rFonts w:ascii="宋体" w:hAnsi="宋体"/>
              </w:rPr>
              <w:t>手防护：</w:t>
            </w:r>
            <w:r>
              <w:rPr>
                <w:rFonts w:ascii="宋体" w:hAnsi="宋体" w:hint="eastAsia"/>
                <w:szCs w:val="18"/>
              </w:rPr>
              <w:t>戴橡胶手套。</w:t>
            </w:r>
            <w:r>
              <w:rPr>
                <w:rFonts w:ascii="宋体" w:hAnsi="宋体" w:hint="eastAsia"/>
              </w:rPr>
              <w:t xml:space="preserve">   ※其他防护：</w:t>
            </w:r>
            <w:r>
              <w:rPr>
                <w:rFonts w:ascii="宋体" w:hAnsi="宋体" w:hint="eastAsia"/>
                <w:szCs w:val="18"/>
              </w:rPr>
              <w:t>工作现场严禁吸烟。注意个人清洁卫生。实行就业前和定期的体检。</w:t>
            </w:r>
          </w:p>
        </w:tc>
      </w:tr>
      <w:tr w:rsidR="00C135F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泄</w:t>
            </w:r>
          </w:p>
          <w:p w:rsidR="00C135F5" w:rsidRDefault="00C135F5" w:rsidP="0090435F">
            <w:pPr>
              <w:spacing w:line="296" w:lineRule="exact"/>
              <w:rPr>
                <w:rFonts w:ascii="宋体" w:hAnsi="宋体"/>
              </w:rPr>
            </w:pPr>
            <w:r>
              <w:rPr>
                <w:rFonts w:ascii="宋体" w:hAnsi="宋体" w:hint="eastAsia"/>
              </w:rPr>
              <w:t>漏</w:t>
            </w:r>
          </w:p>
          <w:p w:rsidR="00C135F5" w:rsidRDefault="00C135F5" w:rsidP="0090435F">
            <w:pPr>
              <w:spacing w:line="296" w:lineRule="exact"/>
              <w:rPr>
                <w:rFonts w:ascii="宋体" w:hAnsi="宋体"/>
              </w:rPr>
            </w:pPr>
            <w:r>
              <w:rPr>
                <w:rFonts w:ascii="宋体" w:hAnsi="宋体" w:hint="eastAsia"/>
              </w:rPr>
              <w:t>处</w:t>
            </w:r>
          </w:p>
          <w:p w:rsidR="00C135F5" w:rsidRDefault="00C135F5" w:rsidP="0090435F">
            <w:pPr>
              <w:spacing w:line="296"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135F5" w:rsidRDefault="00C135F5" w:rsidP="0090435F">
            <w:pPr>
              <w:spacing w:line="296" w:lineRule="exact"/>
              <w:rPr>
                <w:rFonts w:ascii="宋体" w:hAnsi="宋体"/>
                <w:bCs/>
                <w:szCs w:val="18"/>
              </w:rPr>
            </w:pPr>
            <w:r>
              <w:rPr>
                <w:rFonts w:ascii="宋体" w:hAnsi="宋体" w:hint="eastAsia"/>
                <w:szCs w:val="18"/>
              </w:rPr>
              <w:t>隔离泄漏污染区，限制出入。切断火源。建议应急处理人员戴自给正压式呼吸器，穿防毒服。用砂土、干燥石灰或苏打灰混合。小心扫起，转移至安全场所。若大量泄漏，用塑料布、帆布覆盖。收集回收或运至废物处理场所处置。</w:t>
            </w:r>
          </w:p>
        </w:tc>
      </w:tr>
      <w:tr w:rsidR="00C135F5" w:rsidTr="0090435F">
        <w:trPr>
          <w:cantSplit/>
          <w:jc w:val="center"/>
        </w:trPr>
        <w:tc>
          <w:tcPr>
            <w:tcW w:w="489" w:type="dxa"/>
            <w:tcBorders>
              <w:top w:val="single" w:sz="4" w:space="0" w:color="auto"/>
              <w:left w:val="single" w:sz="4" w:space="0" w:color="auto"/>
              <w:right w:val="single" w:sz="4" w:space="0" w:color="auto"/>
            </w:tcBorders>
            <w:vAlign w:val="center"/>
          </w:tcPr>
          <w:p w:rsidR="00C135F5" w:rsidRDefault="00C135F5" w:rsidP="0090435F">
            <w:pPr>
              <w:spacing w:line="296" w:lineRule="exact"/>
              <w:rPr>
                <w:rFonts w:ascii="宋体" w:hAnsi="宋体"/>
              </w:rPr>
            </w:pPr>
            <w:r>
              <w:rPr>
                <w:rFonts w:ascii="宋体" w:hAnsi="宋体" w:hint="eastAsia"/>
              </w:rPr>
              <w:t>储</w:t>
            </w:r>
          </w:p>
          <w:p w:rsidR="00C135F5" w:rsidRDefault="00C135F5" w:rsidP="0090435F">
            <w:pPr>
              <w:spacing w:line="29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C135F5" w:rsidRDefault="00C135F5" w:rsidP="0090435F">
            <w:pPr>
              <w:spacing w:line="296" w:lineRule="exact"/>
              <w:rPr>
                <w:rFonts w:ascii="宋体" w:hAnsi="宋体"/>
                <w:szCs w:val="18"/>
              </w:rPr>
            </w:pPr>
            <w:r>
              <w:rPr>
                <w:rFonts w:ascii="宋体" w:hAnsi="宋体" w:hint="eastAsia"/>
                <w:szCs w:val="18"/>
              </w:rPr>
              <w:t>储存于阴凉、干燥、通风良好的库房。远离火种、热源。库温不超过25℃，相对湿度不超过75％。保持容器密封。应与氧化剂、酸类、醇类等分开存放，切忌混储。采用防爆型照明、通风设施。禁止使用易产生火花的机械设备和工具。储区应备有合适的材料收容泄漏物。</w:t>
            </w:r>
          </w:p>
          <w:p w:rsidR="00C135F5" w:rsidRDefault="00C135F5" w:rsidP="0090435F">
            <w:pPr>
              <w:spacing w:line="296" w:lineRule="exact"/>
              <w:rPr>
                <w:rFonts w:ascii="宋体" w:hAnsi="宋体"/>
              </w:rPr>
            </w:pPr>
            <w:r>
              <w:rPr>
                <w:rFonts w:ascii="宋体" w:hAnsi="宋体" w:hint="eastAsia"/>
                <w:szCs w:val="18"/>
              </w:rPr>
              <w:t>运输时运输车辆应配备相应品种和数量的消防器材及泄漏应急处理设备。装运本品的车辆排气管须有阻火装置。运输过程中要确保容器不泄漏、不倒塌、不坠落、不损坏。严禁与氧化剂、酸类、醇类、食用化学品等混装混运。运输途中应防曝晒、雨淋，防高温。中途停留时应远离火种、热源。车辆运输完毕应进行彻底清扫。铁路运输时要禁止溜放。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F5"/>
    <w:rsid w:val="00C135F5"/>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384CB-8044-4B91-96D4-18A93124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135F5"/>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135F5"/>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0</DocSecurity>
  <Lines>10</Lines>
  <Paragraphs>2</Paragraphs>
  <ScaleCrop>false</ScaleCrop>
  <Company>zyhq</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